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"/>
        <w:gridCol w:w="2100"/>
        <w:gridCol w:w="6"/>
        <w:gridCol w:w="6"/>
      </w:tblGrid>
      <w:tr w:rsidR="0075389C" w:rsidRPr="0075389C" w:rsidTr="0075389C">
        <w:trPr>
          <w:trHeight w:val="105"/>
          <w:tblCellSpacing w:w="0" w:type="dxa"/>
        </w:trPr>
        <w:tc>
          <w:tcPr>
            <w:tcW w:w="375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sz w:val="10"/>
                <w:lang w:eastAsia="pt-B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sz w:val="10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sz w:val="10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color w:val="000000" w:themeColor="text1"/>
                <w:lang w:eastAsia="pt-BR"/>
              </w:rPr>
              <w:t>PARECER 16265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0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0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0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15"/>
        <w:gridCol w:w="6815"/>
        <w:gridCol w:w="15"/>
        <w:gridCol w:w="6"/>
      </w:tblGrid>
      <w:tr w:rsidR="0075389C" w:rsidRPr="0075389C" w:rsidTr="0075389C">
        <w:trPr>
          <w:trHeight w:val="360"/>
          <w:tblCellSpacing w:w="0" w:type="dxa"/>
        </w:trPr>
        <w:tc>
          <w:tcPr>
            <w:tcW w:w="3615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shd w:val="clear" w:color="auto" w:fill="0000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5389C" w:rsidRPr="007538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389C" w:rsidRPr="0075389C" w:rsidRDefault="0075389C" w:rsidP="0075389C">
                  <w:pPr>
                    <w:pStyle w:val="Ttulo1"/>
                    <w:spacing w:before="0"/>
                    <w:rPr>
                      <w:rFonts w:eastAsia="Times New Roman"/>
                      <w:color w:val="000000" w:themeColor="text1"/>
                      <w:lang w:eastAsia="pt-BR"/>
                    </w:rPr>
                  </w:pPr>
                </w:p>
              </w:tc>
            </w:tr>
          </w:tbl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15" w:type="dxa"/>
            <w:shd w:val="clear" w:color="auto" w:fill="0000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5389C" w:rsidRPr="007538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389C" w:rsidRPr="0075389C" w:rsidRDefault="0075389C" w:rsidP="0075389C">
                  <w:pPr>
                    <w:pStyle w:val="Ttulo1"/>
                    <w:spacing w:before="0"/>
                    <w:rPr>
                      <w:rFonts w:eastAsia="Times New Roman"/>
                      <w:color w:val="000000" w:themeColor="text1"/>
                      <w:lang w:eastAsia="pt-BR"/>
                    </w:rPr>
                  </w:pPr>
                </w:p>
              </w:tc>
            </w:tr>
          </w:tbl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color w:val="000000" w:themeColor="text1"/>
                <w:lang w:eastAsia="pt-BR"/>
              </w:rPr>
              <w:t xml:space="preserve">CEDÊNCIA MEMBRO DO MAGISTÉRIO. DOIS VÍNCULOS. DESAVERBAÇÃO DE UM DOS VÍNCULOS PELA SARH. MODERNA ORIENTAÇÃO DO PARECER 15947, QUE DEVE SER ADOTADA PELA ADMINISTRAÇÃO, ATENTANDO ÀS PECULIARIDADES DE NATUREZAS FUNCIONAL E PREVIDENCIÁRIA DAS DIVERSAS MODALIDADES DE DISPOSIÇÃO DE SERVIDORES. </w:t>
            </w:r>
          </w:p>
        </w:tc>
        <w:tc>
          <w:tcPr>
            <w:tcW w:w="15" w:type="dxa"/>
            <w:shd w:val="clear" w:color="auto" w:fill="0000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5389C" w:rsidRPr="007538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389C" w:rsidRPr="0075389C" w:rsidRDefault="0075389C" w:rsidP="0075389C">
                  <w:pPr>
                    <w:pStyle w:val="Ttulo1"/>
                    <w:spacing w:before="0"/>
                    <w:rPr>
                      <w:rFonts w:eastAsia="Times New Roman"/>
                      <w:color w:val="000000" w:themeColor="text1"/>
                      <w:lang w:eastAsia="pt-BR"/>
                    </w:rPr>
                  </w:pPr>
                </w:p>
              </w:tc>
            </w:tr>
          </w:tbl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shd w:val="clear" w:color="auto" w:fill="0000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5389C" w:rsidRPr="007538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389C" w:rsidRPr="0075389C" w:rsidRDefault="0075389C" w:rsidP="0075389C">
                  <w:pPr>
                    <w:pStyle w:val="Ttulo1"/>
                    <w:spacing w:before="0"/>
                    <w:rPr>
                      <w:rFonts w:eastAsia="Times New Roman"/>
                      <w:color w:val="000000" w:themeColor="text1"/>
                      <w:lang w:eastAsia="pt-BR"/>
                    </w:rPr>
                  </w:pPr>
                </w:p>
              </w:tc>
            </w:tr>
          </w:tbl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175E469A" wp14:editId="16C745AF">
                  <wp:extent cx="228600" cy="9525"/>
                  <wp:effectExtent l="0" t="0" r="0" b="0"/>
                  <wp:docPr id="84" name="Imagem 84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14BEEF2" wp14:editId="591A70AF">
                  <wp:extent cx="228600" cy="9525"/>
                  <wp:effectExtent l="0" t="0" r="0" b="0"/>
                  <wp:docPr id="83" name="Imagem 83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 Secretaria da Administração e dos Recursos Humanos se defronta com recurso administrativo formulado por professora estadual detentora de dois vínculos funcionais com o Estado do Rio Grande do Sul, cedida em dois períodos ao Município de Porto Alegre.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868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020ED66" wp14:editId="0A40001B">
                  <wp:extent cx="228600" cy="9525"/>
                  <wp:effectExtent l="0" t="0" r="0" b="0"/>
                  <wp:docPr id="82" name="Imagem 82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BA48904" wp14:editId="322939DE">
                  <wp:extent cx="228600" cy="9525"/>
                  <wp:effectExtent l="0" t="0" r="0" b="0"/>
                  <wp:docPr id="81" name="Imagem 81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Narra a consulente: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AD2A736" wp14:editId="3E658920">
                  <wp:extent cx="228600" cy="9525"/>
                  <wp:effectExtent l="0" t="0" r="0" b="0"/>
                  <wp:docPr id="80" name="Imagem 80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7EDEFF09" wp14:editId="4BEB02EA">
                  <wp:extent cx="228600" cy="9525"/>
                  <wp:effectExtent l="0" t="0" r="0" b="0"/>
                  <wp:docPr id="79" name="Imagem 79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 servidora possui dois vínculos com o Estado, dois cargos de professor, e foi cedida em dois períodos distintos ao Município de Porto Alegre. A servidora em 2012 requereu (processo administrativo 004365-19.00-12.7) a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desaverbação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de tempo de serviço prestado à Câmara Municipal de Porto Alegre, período 03/03/1991 a 31/10/1991, do seu vinculo '2' para seu vínculo '1', pedido esse que foi atendido, porém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ex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officio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a Secretaria da Educação também desaverbou do vínculo '2' o período de 01/01/2001 a 31/12/2004, o qual corresponde ao período que esteve cedida ao Município de Porto Alegre (DMAE), sem ônus para o Estado.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F83E73A" wp14:editId="324A9694">
                  <wp:extent cx="228600" cy="9525"/>
                  <wp:effectExtent l="0" t="0" r="0" b="0"/>
                  <wp:docPr id="78" name="Imagem 78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7B6A6E01" wp14:editId="3D0B044A">
                  <wp:extent cx="228600" cy="9525"/>
                  <wp:effectExtent l="0" t="0" r="0" b="0"/>
                  <wp:docPr id="77" name="Imagem 77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Para seu proceder, à ocasião brandiu a Secretaria o Parecer 15042, de 24 de julho de 2009, firmado pela Procuradora do Estado Adriana Maria Neumann.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29E2903B" wp14:editId="73C3F98D">
                  <wp:extent cx="228600" cy="9525"/>
                  <wp:effectExtent l="0" t="0" r="0" b="0"/>
                  <wp:docPr id="76" name="Imagem 76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1F2C45BC" wp14:editId="007BEFA7">
                  <wp:extent cx="228600" cy="9525"/>
                  <wp:effectExtent l="0" t="0" r="0" b="0"/>
                  <wp:docPr id="75" name="Imagem 75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Irresignada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, a professora apresenta recurso, mediante o qual pede a "revisão do ato administrativo que desaverbou o tempo de serviço dos anos de 2001 a 2004, do segundo vínculo do ato de cedência ao Município de Porto Alegre", dizendo: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AD34F7D" wp14:editId="479D6C84">
                  <wp:extent cx="228600" cy="9525"/>
                  <wp:effectExtent l="0" t="0" r="0" b="0"/>
                  <wp:docPr id="74" name="Imagem 74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133189BF" wp14:editId="6E7E2E57">
                  <wp:extent cx="228600" cy="9525"/>
                  <wp:effectExtent l="0" t="0" r="0" b="0"/>
                  <wp:docPr id="73" name="Imagem 73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 servidora solicitou no dia 4 de maio de 2012 o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desaverbamento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da matrícula 1674790, vínculo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, do período de serviço prestado à Câmara Municipal de Porto Alegre, como supervisor de Gabinete do período 08/03/91 a 31/10/91, que foi averbado em 17/01/2005, no processo administrativo 000468-19.00-05.1, a fim de averbar na matrícula 1, 1674790/01, o que lhe foi concedido. Porém, no mesmo processo administrativo, o Setor SEDIV/SARH, sem que houvesse nenhuma solicitação, desaverbou o período 01/01/2001 a 31/12/2004 do vínculo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, averbado em janeiro de 2005 (há quase 7 anos) quando do seu retorno da Prefeitura de Porto Alegre, alegando que esse período fora averbado indevidamente, sem levar em consideração que os dois vínculos eram de professora e de 20 h cada um, com a devida cedência. Tudo de acordo com a legislação vigente.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2246F12F" wp14:editId="169F65ED">
                  <wp:extent cx="228600" cy="9525"/>
                  <wp:effectExtent l="0" t="0" r="0" b="0"/>
                  <wp:docPr id="72" name="Imagem 72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D11B9A5" wp14:editId="6C0BBB5E">
                  <wp:extent cx="228600" cy="9525"/>
                  <wp:effectExtent l="0" t="0" r="0" b="0"/>
                  <wp:docPr id="71" name="Imagem 71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Registra que a cedência ocorreu nas duas matrículas, para o exercício de funções com jornada de trabalho de quarenta horas, e que manteve à sua conta as contribuições previdenciárias durante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todo a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disposição. Insiste que teve prejuízo em sua vida funcional pelo ato administrativo que desaverbou tal período mais de oito anos depois de regularmente exarado.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F5DADA4" wp14:editId="17DB2F6B">
                  <wp:extent cx="228600" cy="9525"/>
                  <wp:effectExtent l="0" t="0" r="0" b="0"/>
                  <wp:docPr id="70" name="Imagem 70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BAB92C5" wp14:editId="302A7DCA">
                  <wp:extent cx="228600" cy="9525"/>
                  <wp:effectExtent l="0" t="0" r="0" b="0"/>
                  <wp:docPr id="69" name="Imagem 69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O recurso foi indeferido e a servidora, então, renova o pleito por intermédio deste processo que tenho para examinar, dessa vez apresentado sob a forma de recurso de revisão, agregando às razões que formula os argumentos do decurso do tempo e da estabilidade e segurança das relações jurídicas. Acerca dessa nova manifestação, informa a Secretaria: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9F4E413" wp14:editId="02DE6F11">
                  <wp:extent cx="228600" cy="9525"/>
                  <wp:effectExtent l="0" t="0" r="0" b="0"/>
                  <wp:docPr id="68" name="Imagem 68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BDF6195" wp14:editId="23AF80C6">
                  <wp:extent cx="228600" cy="9525"/>
                  <wp:effectExtent l="0" t="0" r="0" b="0"/>
                  <wp:docPr id="67" name="Imagem 67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Inconformada, pediu reconsideração, entretanto o pedido foi indeferido fundamentado no parecer </w:t>
            </w: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 xml:space="preserve">PGE 15042. (...) Efetivamente, houve orientação da PGE no sentido de não ser possível computar o tempo da cedência em seus dois vínculos de origem, entretanto a orientação foi modificada pelo Parecer 15947.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18A316E" wp14:editId="2D970CEC">
                  <wp:extent cx="228600" cy="9525"/>
                  <wp:effectExtent l="0" t="0" r="0" b="0"/>
                  <wp:docPr id="66" name="Imagem 66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2F9B0992" wp14:editId="69CAEF2B">
                  <wp:extent cx="228600" cy="9525"/>
                  <wp:effectExtent l="0" t="0" r="0" b="0"/>
                  <wp:docPr id="65" name="Imagem 65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O Parecer 15947 analisou a situação da colocação à disposição de servidores professores detentores de dois vínculos funcionais para o exercício do cargo em comissão ou de cargo político. (...) Em razão dessa nova orientação, nota-se o reconhecimento do cômputo do tempo de serviço prestado ao cessionário nos dois vínculos que possui com o cedente, haja vista tratar-se de situação que envolve o servidor enquanto detentor de cargo público. Todavia, ao reconhecer o cômputo do período cedido para as duas matrículas fez a seguinte ressalva de seu texto: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"em se tratando de cedência sem ônus para a origem, o cômputo se dará no modo já previsto em vários pareceres desta Casa, como os de número 14931 e 15042.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637D365" wp14:editId="36B5B4EA">
                  <wp:extent cx="228600" cy="9525"/>
                  <wp:effectExtent l="0" t="0" r="0" b="0"/>
                  <wp:docPr id="64" name="Imagem 64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6309648" wp14:editId="2102260B">
                  <wp:extent cx="228600" cy="9525"/>
                  <wp:effectExtent l="0" t="0" r="0" b="0"/>
                  <wp:docPr id="63" name="Imagem 63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Nesse ponto surge a dúvida quanto à orientação da Procuradoria-Geral do Estado. Como visto acima, o Parecer 15042 no que diz respeito ao servidor cedido sem ônus orienta: deve-se averbar no Estado o tempo em que esteve cedido, além de não ser possível a averbação de duas posições funcionais distinta de um mesmo tempo de serviço exercido em um único cargo ou função. Já o Parecer 14931 menciona: deve-se averbar no Estado o tempo em que esteve cedido além de comprovar o recolhimento das contribuições previdenciárias. Nota-se que essa ressalva vai de encontro ao entendimento discorrido no Parecer 15947, pois na fundamentação é ressaltado que na cedência, seja com ou sem ônus, considerar-se-á o servidor e não o seu cargo, pois ele (servidor) será afastado de suas atribuições para assumir cargo em comissão, afastamento esse que será considerado como se em exercício estivesse na origem, ressaltando: "Ainda que, para alguns efeitos funcionais, como os avanços temporais, cada cargo titulado seja considerado isoladamente, em determinadas circunstâncias, o que será levado em consideração é o conjunto das atribuições exercidas pelo servidor,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ou melhor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dizendo, é o próprio servidor, enquanto titular de cargo público, e não seu cargo em si que deverá ser analisado."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F590577" wp14:editId="75337F64">
                  <wp:extent cx="228600" cy="9525"/>
                  <wp:effectExtent l="0" t="0" r="0" b="0"/>
                  <wp:docPr id="62" name="Imagem 62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75C5F2F6" wp14:editId="4606B3B7">
                  <wp:extent cx="228600" cy="9525"/>
                  <wp:effectExtent l="0" t="0" r="0" b="0"/>
                  <wp:docPr id="61" name="Imagem 61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Segundo o texto, é a condição da cedência, situação do servidor, que enseja o cômputo do tempo, independentemente se o afastamento tenha sido com ou sem ônus. Desse modo, se considerarmos a ressalva contida no corpo do Parecer 15947, não haverá cômputo do tempo daqueles cedidos sem ônus para a origem, diferentemente daqueles cedidos com ônus. Assim, diante de toda a fundamentação contida no Parecer 15947 e a ressalva acima transcrita, sugere-se seja consultada a Procuradoria-Geral do Estado para manifestar-se acerca da extensão do cômputo do tempo de trabalho exercido enquanto cedido sem ônus para o Estado.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302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E27C203" wp14:editId="164AC9B4">
                  <wp:extent cx="228600" cy="9525"/>
                  <wp:effectExtent l="0" t="0" r="0" b="0"/>
                  <wp:docPr id="60" name="Imagem 60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36999A9" wp14:editId="053892E2">
                  <wp:extent cx="228600" cy="9525"/>
                  <wp:effectExtent l="0" t="0" r="0" b="0"/>
                  <wp:docPr id="59" name="Imagem 59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É o relatório. Passo a examinar.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28D2AC77" wp14:editId="352F16FD">
                  <wp:extent cx="228600" cy="9525"/>
                  <wp:effectExtent l="0" t="0" r="0" b="0"/>
                  <wp:docPr id="58" name="Imagem 58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1093F81" wp14:editId="4AD601BE">
                  <wp:extent cx="228600" cy="9525"/>
                  <wp:effectExtent l="0" t="0" r="0" b="0"/>
                  <wp:docPr id="57" name="Imagem 57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 servidora, conforme declarado nos autos pela Secretaria de Educação, é professora, classe A, nível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5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, cuja Identificação funcional comporta dois vínculos, 1 e 2, cada um sob o regime de vinte horas semanais.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4EC6FEC" wp14:editId="6D8E8E3E">
                  <wp:extent cx="228600" cy="9525"/>
                  <wp:effectExtent l="0" t="0" r="0" b="0"/>
                  <wp:docPr id="56" name="Imagem 56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26438AF" wp14:editId="59DF51B6">
                  <wp:extent cx="228600" cy="9525"/>
                  <wp:effectExtent l="0" t="0" r="0" b="0"/>
                  <wp:docPr id="55" name="Imagem 55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Averbara a sua vida funcional tempos de serviço público prestado ao Município de Porto Alegre, à sua Câmara de Vereadores e ao seu Departamento Municipal de Agua e Esgotos. Em determinado momento, pretendeu desaverbar um dos períodos de tempo registrado em um vínculo para averbá-lo noutro, não havendo notícia de já tê-lo apropriado para obtenção de alguma vantagem funcional no vínculo em que originalmente aproveitara o tempo. Verifico que essa postura da servidora, de maio de 2012, teve como fundamento a posição que então vigorava nesta Casa, pois, o Parecer 15042, de 24 de julho de 2009, vedava, em caso de cedências, em qualquer modalidade, a averbação em duas linhas funcionais distintas de tempo de serviço exercido em um único cargo ou função.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5271AD6" wp14:editId="283D7D0E">
                  <wp:extent cx="228600" cy="9525"/>
                  <wp:effectExtent l="0" t="0" r="0" b="0"/>
                  <wp:docPr id="54" name="Imagem 54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015FF53" wp14:editId="66F0C8A6">
                  <wp:extent cx="228600" cy="9525"/>
                  <wp:effectExtent l="0" t="0" r="0" b="0"/>
                  <wp:docPr id="53" name="Imagem 53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 Administração efetivou a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desaverbação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desse tempo solicitado e, também, em exercício de autotutela, revisou atos anteriores para apropriar os demais tempos averbados em somente um dos seus vínculos, sempre com base no Parecer 15042.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45331E75" wp14:editId="55244A71">
                  <wp:extent cx="228600" cy="9525"/>
                  <wp:effectExtent l="0" t="0" r="0" b="0"/>
                  <wp:docPr id="52" name="Imagem 52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CA934BE" wp14:editId="325949BF">
                  <wp:extent cx="228600" cy="9525"/>
                  <wp:effectExtent l="0" t="0" r="0" b="0"/>
                  <wp:docPr id="51" name="Imagem 51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Foi então que a servidora atentou à nova orientação desta Casa e, assim, formulou o pedido de revisão acerca da qual a SARH veio a apontar as contradições que a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impedem,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a seu entender, de considerar o tempo integral nos dois vínculos.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F0C45E4" wp14:editId="54E2063B">
                  <wp:extent cx="228600" cy="9525"/>
                  <wp:effectExtent l="0" t="0" r="0" b="0"/>
                  <wp:docPr id="50" name="Imagem 50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21155E2A" wp14:editId="4BCA2B7A">
                  <wp:extent cx="228600" cy="9525"/>
                  <wp:effectExtent l="0" t="0" r="0" b="0"/>
                  <wp:docPr id="49" name="Imagem 49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Constato que, realmente, o Parecer 15947, de 14 de dezembro de 2012, de lavra da Procuradora do </w:t>
            </w: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Estado Marília Vieira Bueno e chancelado pelo Conselho Superior, alterou o posicionamento desta Casa acerca da forma pela qual se realiza acedência de membros do magistério. Atualmente, sob a perspectiva de que a cedência se opera em relação à pessoa do professor, se considera inexistir empecilho jurídico-legal para que a cedência ocorra em ambos os cargos que eventualmente titule.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5379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25DA74BD" wp14:editId="48BD2CD5">
                  <wp:extent cx="228600" cy="9525"/>
                  <wp:effectExtent l="0" t="0" r="0" b="0"/>
                  <wp:docPr id="48" name="Imagem 48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2B36138F" wp14:editId="5499140A">
                  <wp:extent cx="228600" cy="9525"/>
                  <wp:effectExtent l="0" t="0" r="0" b="0"/>
                  <wp:docPr id="47" name="Imagem 47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Não localizo, porém, a contradição apontada pela SARH.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7FD167F1" wp14:editId="1F8D7460">
                  <wp:extent cx="228600" cy="9525"/>
                  <wp:effectExtent l="0" t="0" r="0" b="0"/>
                  <wp:docPr id="46" name="Imagem 46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DEE1719" wp14:editId="11F90C80">
                  <wp:extent cx="228600" cy="9525"/>
                  <wp:effectExtent l="0" t="0" r="0" b="0"/>
                  <wp:docPr id="45" name="Imagem 45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Todo o Parecer mantém linha única de argumentação, posta no sentido de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ser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viável a cedência do professor em ambas as linhas funcionais que eventualmente titule, às quais é igual e indistintamente apropriado o tempo de serviço. Não há exceção ou ressalva quanto à modalidade de encargos remuneratórios, como pode ter parecido à SARH. E nem poderia haver, creio eu, na medida em que a orientação vigorante tão somente determina a aplicação da jurisprudência e das regras administrativas que valem para a cedência em um cargo, estendendo-as, para o caso dos membros do magistério, aos dois cargos que ordinariamente podem titular, considerada a jornada de trabalho legal de 20 horas semanais.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7FD88E70" wp14:editId="31DD61B3">
                  <wp:extent cx="228600" cy="9525"/>
                  <wp:effectExtent l="0" t="0" r="0" b="0"/>
                  <wp:docPr id="44" name="Imagem 44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4CA5E713" wp14:editId="139E9F65">
                  <wp:extent cx="228600" cy="9525"/>
                  <wp:effectExtent l="0" t="0" r="0" b="0"/>
                  <wp:docPr id="43" name="Imagem 43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Veja-se que o Parecer, para o efeito do que chama de "consequências de caráter previdenciário" também remete à regra geral que pressupõe a vinculação do servidor ao regime previdenciário de origem e o recolhimento das contribuições previdenciárias em ambos os vínculos funcionais. Diz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servidora que efetivou o recolhimento das contribuições previdenciárias durante o tempo de cedência, na forma da regra estadual, o que deve ser verificado pela SARH para o efeito do registro do tempo de serviço para vantagens e aposentadoria, nos termos da regra legal e da orientação desta Procuradoria, da qual colho, como subsídio, os seguintes excertos do Parecer 14931, de 27 de janeiro de 2009, exarado pela Procuradora do Estado Adriana Maria Neumann: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2AE906E7" wp14:editId="48BA9CB1">
                  <wp:extent cx="228600" cy="9525"/>
                  <wp:effectExtent l="0" t="0" r="0" b="0"/>
                  <wp:docPr id="42" name="Imagem 42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40A0E46F" wp14:editId="776841EC">
                  <wp:extent cx="228600" cy="9525"/>
                  <wp:effectExtent l="0" t="0" r="0" b="0"/>
                  <wp:docPr id="41" name="Imagem 41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Cuida-se de examinar se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ha´ necessidade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de requerimento de averbação de tempo de serviço correspondente a período em que o servidor esteve a` disposição de outro ente público, com a finalidade de que produza efeitos em sua vida funcional. Contudo, para que se equacione a dúvida, imprescindível que se examine sempre a modalidade da cedência, uma vez que a definição dos ônus acarreta consequências distintas.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AADDC4E" wp14:editId="2AE98550">
                  <wp:extent cx="228600" cy="9525"/>
                  <wp:effectExtent l="0" t="0" r="0" b="0"/>
                  <wp:docPr id="40" name="Imagem 40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683D4F9" wp14:editId="6A8E33C3">
                  <wp:extent cx="228600" cy="9525"/>
                  <wp:effectExtent l="0" t="0" r="0" b="0"/>
                  <wp:docPr id="39" name="Imagem 39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Com efeito, se na cedência com ônus para a origem conforma-se apenas uma forma extraordinária de exercício do cargo público - em órgão/ente diverso daquele ao qual pertence o servidor, mas no interesse da Administração -, sem outras alterações substanciais da relação funcional, na cedência sem ônus não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e´ assim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. Aqui, se forma uma relação jurídica diversa da originária e, como tal, assume ela a roupagem própria do ente estatal de destino, isto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e´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, a relação funcional sujeitar-se-á´ às mesmas regras aplicáveis aos demais servidores do cessionário e os vencimentos são percebidos a` conta deste.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0B415D6" wp14:editId="17B654D6">
                  <wp:extent cx="228600" cy="9525"/>
                  <wp:effectExtent l="0" t="0" r="0" b="0"/>
                  <wp:docPr id="38" name="Imagem 38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1FD50AF7" wp14:editId="4B1260A0">
                  <wp:extent cx="228600" cy="9525"/>
                  <wp:effectExtent l="0" t="0" r="0" b="0"/>
                  <wp:docPr id="37" name="Imagem 37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Assim, se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e´ verdade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que o instituto da cedência sem ônus para a origem não possui o condão de romper o vínculo do servidor com a origem, nem de tornar definitiva a relação com o cessionário, também o e´ que o servidor cedido passa a ter sua efetividade controlada pelo cessionário, sujeitando-o a` hierarquia, a` jornada de trabalho, aos deveres funcionais e a` organização das atividades deste. De igual sorte, beneficia-se das vantagens conferidas aos servidores do quadro do cessionário. Por conseguinte, o servidor estadual cedido nesta modalidade interrompe o exercício das funções estaduais e, consequentemente, a fluência do tempo de serviço estadual, alcançando a expressão "sem ônus" todas as obrigações do Estado em relação ao servidor - salvo aquelas excetuadas em lei, como a possibilidade de retornar ao cargo de origem -, e não somente aquelas de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caráterpecuniário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(pagamento de vencimento e vantagens). Em realidade, entendimento distinto ensejaria inconstitucionalidade, como </w:t>
            </w:r>
            <w:proofErr w:type="spellStart"/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ja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´ assentado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no Parecer no 14.058/04, por violação da regra constitucional proibitiva da acumulação remunerada de cargos, empregos e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funçõespublicas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(art. 37, XVI e XVII).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E´ que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, colocado o servidor a` disposição de outro ente público, sem ônus para o Estado, somente se viabiliza a assunção de outro cargo ou emprego sem infração da aludida regra constitucional se a relação funcional originária for tida como quiescente. Então, o exercício de outro cargo em comissão, sem ônus para a origem, ainda que não tenha a qualidade de romper com a vinculação primeira, acarreta espécie de suspensão do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vínculooriginário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, a teor dos artigos 25 e 181 da Lei Complementar no 10.098/94, e estabelecimento de novo vínculo na entidade cessionária, sujeito às regras próprias desta.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5A41241" wp14:editId="025CE883">
                  <wp:extent cx="228600" cy="9525"/>
                  <wp:effectExtent l="0" t="0" r="0" b="0"/>
                  <wp:docPr id="36" name="Imagem 36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25456243" wp14:editId="71D778EE">
                  <wp:extent cx="228600" cy="9525"/>
                  <wp:effectExtent l="0" t="0" r="0" b="0"/>
                  <wp:docPr id="35" name="Imagem 35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Todavia, impende não confundir o vínculo jurídico com o vínculo previdenciário.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E´ que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, por força de </w:t>
            </w: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lastRenderedPageBreak/>
              <w:t xml:space="preserve">lei, mesmo que na cedência sem ônus se verifique a interrupção do exercício na órbita cedente (Estado), e passe o servidor a ter exercício na entidade cessionária e a perceber a remuneração por conta desta, permanece obrigatoriamente vinculado ao regime previdenciário de origem (artigo 1º-A da Lei Federal no 9.717/98, na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redaçãoatribuída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pela Medida Provisória 2-187/01), devendo sua contribuição ser efetivada no percentual de 12% sobre o salário de contribuição (art. 8º c/c art. 7º da Lei no 7.672/82), acrescida da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contribuiçãoprevidenciária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devida pelo ente cessionário, equivalente ao dobro da contribuição devida pelo servidor (art. 2º da LC 12.065/04), como esclarecido no Parecer no 14.135/04.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3B87BB0" wp14:editId="476DE34E">
                  <wp:extent cx="228600" cy="9525"/>
                  <wp:effectExtent l="0" t="0" r="0" b="0"/>
                  <wp:docPr id="34" name="Imagem 34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A3A0039" wp14:editId="4E278510">
                  <wp:extent cx="228600" cy="9525"/>
                  <wp:effectExtent l="0" t="0" r="0" b="0"/>
                  <wp:docPr id="33" name="Imagem 33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Por conseguinte, configurado na cedência com ônus para a origem apenas um deslocamento no âmbito do exercício das funções do servidor (que passa a ser na e para a entidade de destino), sem modificações de outra ordem, o tempo de serviço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e´ tempo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estadual e, assim, alcançado pelo artigo 64, V, da Lei Complementar n.º 10.098/94. Nesta condição, pois, sequer deve deixar de ser computado durante o período de cedência, do que decorre a desnecessidade de qualquer requerimento objetivando sua averbação. </w:t>
            </w:r>
            <w:proofErr w:type="spellStart"/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Ja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´ na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cedência sem ônus para a origem, porque estabelecida uma nova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relaçãojurídica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com outro ente estatal (ainda que mediante autorização do órgão cedente), o tempo de serviço e´ estranho ao Estado, do que decorre a necessidade de examinar a própria possibilidade de que seja averbado para fins de concessão de vantagens temporais (uma vez que o cômputo para efeitos de aposentadoria deriva do artigo 65, I, da LC no 10.098/94 e da manutenção das contribuições ao regime próprio de previdência durante o período da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cede^ncia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, determinada pela Lei Federal no 9.717/98 e LC no 12.065/04) e, caso viável, a partir de quando poderá´ repercutir na esfera patrimonial do servidor.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1173E25" wp14:editId="53B801D5">
                  <wp:extent cx="228600" cy="9525"/>
                  <wp:effectExtent l="0" t="0" r="0" b="0"/>
                  <wp:docPr id="32" name="Imagem 32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114296A0" wp14:editId="4299315F">
                  <wp:extent cx="228600" cy="9525"/>
                  <wp:effectExtent l="0" t="0" r="0" b="0"/>
                  <wp:docPr id="31" name="Imagem 31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Deve, pois, a SARH, frente à situação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sob exame</w:t>
            </w:r>
            <w:proofErr w:type="gram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, adotar a orientação desta Casa posta no Parecer 15947 - que estende os efeitos jurídico-legais da cedência, para o caso dos membros do magistério, aos dois cargos que eventualmente titulem - fazendo incidir as mesmas regras e orientações ordinariamente aplicáveis às disposições de servidores públicos, em suas variadas modalidades.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157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B64C38E" wp14:editId="43AF01DE">
                  <wp:extent cx="228600" cy="9525"/>
                  <wp:effectExtent l="0" t="0" r="0" b="0"/>
                  <wp:docPr id="30" name="Imagem 30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76AFB2F" wp14:editId="2E32EC21">
                  <wp:extent cx="228600" cy="9525"/>
                  <wp:effectExtent l="0" t="0" r="0" b="0"/>
                  <wp:docPr id="29" name="Imagem 29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É o Parecer.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3458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077B482" wp14:editId="6B54DA68">
                  <wp:extent cx="228600" cy="9525"/>
                  <wp:effectExtent l="0" t="0" r="0" b="0"/>
                  <wp:docPr id="28" name="Imagem 28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D7205AD" wp14:editId="6A50634F">
                  <wp:extent cx="228600" cy="9525"/>
                  <wp:effectExtent l="0" t="0" r="0" b="0"/>
                  <wp:docPr id="27" name="Imagem 27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Porto Alegre, 24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defevereiro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de </w:t>
            </w:r>
            <w:proofErr w:type="gram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2014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4245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F094ADA" wp14:editId="62896DC7">
                  <wp:extent cx="228600" cy="9525"/>
                  <wp:effectExtent l="0" t="0" r="0" b="0"/>
                  <wp:docPr id="26" name="Imagem 26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65DEA2F" wp14:editId="3BEE00C4">
                  <wp:extent cx="228600" cy="9525"/>
                  <wp:effectExtent l="0" t="0" r="0" b="0"/>
                  <wp:docPr id="25" name="Imagem 25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LEANDRO AUGUSTO NICOLA DE SAMPAIO,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701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EDCF602" wp14:editId="5DD68683">
                  <wp:extent cx="228600" cy="9525"/>
                  <wp:effectExtent l="0" t="0" r="0" b="0"/>
                  <wp:docPr id="24" name="Imagem 24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2AC2BFAC" wp14:editId="0C3FF6D0">
                  <wp:extent cx="228600" cy="9525"/>
                  <wp:effectExtent l="0" t="0" r="0" b="0"/>
                  <wp:docPr id="23" name="Imagem 23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PROCURADOR DO ESTADO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7109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19F6E1A" wp14:editId="3C4FCB50">
                  <wp:extent cx="228600" cy="9525"/>
                  <wp:effectExtent l="0" t="0" r="0" b="0"/>
                  <wp:docPr id="22" name="Imagem 22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1AF04C8" wp14:editId="22573C15">
                  <wp:extent cx="228600" cy="9525"/>
                  <wp:effectExtent l="0" t="0" r="0" b="0"/>
                  <wp:docPr id="21" name="Imagem 21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Processo Administrativo nº. 008459-08.01-13.0Parte superior do formulário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color w:val="000000" w:themeColor="text1"/>
          <w:lang w:eastAsia="pt-BR"/>
        </w:rPr>
      </w:pPr>
      <w:r w:rsidRPr="0075389C">
        <w:rPr>
          <w:rFonts w:eastAsia="Times New Roman"/>
          <w:color w:val="000000" w:themeColor="text1"/>
          <w:lang w:eastAsia="pt-B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675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46E7F787" wp14:editId="4C0FCD7C">
                  <wp:extent cx="228600" cy="9525"/>
                  <wp:effectExtent l="0" t="0" r="0" b="0"/>
                  <wp:docPr id="20" name="Imagem 20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F060865" wp14:editId="057D043B">
                  <wp:extent cx="228600" cy="9525"/>
                  <wp:effectExtent l="0" t="0" r="0" b="0"/>
                  <wp:docPr id="19" name="Imagem 19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Processo nº 8459-08.01/13-0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11EF8387" wp14:editId="2C958658">
                  <wp:extent cx="228600" cy="9525"/>
                  <wp:effectExtent l="0" t="0" r="0" b="0"/>
                  <wp:docPr id="18" name="Imagem 18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3281456" wp14:editId="13A11D1B">
                  <wp:extent cx="228600" cy="9525"/>
                  <wp:effectExtent l="0" t="0" r="0" b="0"/>
                  <wp:docPr id="17" name="Imagem 17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Acolho as conclusões do PARECER nº 16.265/14, da Procuradoria de Pessoal, de autoria do Procurador do Estado Doutor LEANDRO AUGUSTO NICOLA DE SAMPAIO.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202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C94C09B" wp14:editId="41ADC011">
                  <wp:extent cx="228600" cy="9525"/>
                  <wp:effectExtent l="0" t="0" r="0" b="0"/>
                  <wp:docPr id="16" name="Imagem 16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85DA0E6" wp14:editId="1AF28481">
                  <wp:extent cx="228600" cy="9525"/>
                  <wp:effectExtent l="0" t="0" r="0" b="0"/>
                  <wp:docPr id="15" name="Imagem 15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Em 03 de abril de 2014.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401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85A20EB" wp14:editId="74ADAD76">
                  <wp:extent cx="228600" cy="9525"/>
                  <wp:effectExtent l="0" t="0" r="0" b="0"/>
                  <wp:docPr id="14" name="Imagem 14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4AC4A555" wp14:editId="75079AAC">
                  <wp:extent cx="228600" cy="9525"/>
                  <wp:effectExtent l="0" t="0" r="0" b="0"/>
                  <wp:docPr id="13" name="Imagem 13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Bruno de Castro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Winkler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4913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7999B528" wp14:editId="18C7BD7D">
                  <wp:extent cx="228600" cy="9525"/>
                  <wp:effectExtent l="0" t="0" r="0" b="0"/>
                  <wp:docPr id="12" name="Imagem 12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B7F8E50" wp14:editId="1783863B">
                  <wp:extent cx="228600" cy="9525"/>
                  <wp:effectExtent l="0" t="0" r="0" b="0"/>
                  <wp:docPr id="11" name="Imagem 11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Procurador-Geral Adjunto para Assuntos Jurídicos.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22"/>
        <w:gridCol w:w="1250"/>
        <w:gridCol w:w="222"/>
        <w:gridCol w:w="576"/>
      </w:tblGrid>
      <w:tr w:rsidR="0075389C" w:rsidRPr="0075389C" w:rsidTr="0075389C">
        <w:trPr>
          <w:trHeight w:val="180"/>
        </w:trPr>
        <w:tc>
          <w:tcPr>
            <w:tcW w:w="360" w:type="dxa"/>
            <w:vMerge w:val="restart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8E6479C" wp14:editId="15561792">
                  <wp:extent cx="228600" cy="9525"/>
                  <wp:effectExtent l="0" t="0" r="0" b="0"/>
                  <wp:docPr id="10" name="Imagem 10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1F114394" wp14:editId="745A3FBB">
                  <wp:extent cx="228600" cy="9525"/>
                  <wp:effectExtent l="0" t="0" r="0" b="0"/>
                  <wp:docPr id="9" name="Imagem 9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c>
          <w:tcPr>
            <w:tcW w:w="0" w:type="auto"/>
            <w:vMerge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c>
          <w:tcPr>
            <w:tcW w:w="0" w:type="auto"/>
            <w:vMerge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De acordo.</w:t>
            </w:r>
          </w:p>
        </w:tc>
        <w:tc>
          <w:tcPr>
            <w:tcW w:w="0" w:type="auto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c>
          <w:tcPr>
            <w:tcW w:w="0" w:type="auto"/>
            <w:vMerge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</w:trPr>
        <w:tc>
          <w:tcPr>
            <w:tcW w:w="0" w:type="auto"/>
            <w:vMerge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7848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13179632" wp14:editId="0AE9B005">
                  <wp:extent cx="228600" cy="9525"/>
                  <wp:effectExtent l="0" t="0" r="0" b="0"/>
                  <wp:docPr id="8" name="Imagem 8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66BE46F" wp14:editId="04274E5E">
                  <wp:extent cx="228600" cy="9525"/>
                  <wp:effectExtent l="0" t="0" r="0" b="0"/>
                  <wp:docPr id="7" name="Imagem 7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Restitua-se o expediente à Secretaria da Administração e dos Recursos Humanos.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202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76C44D3E" wp14:editId="63D437F6">
                  <wp:extent cx="228600" cy="9525"/>
                  <wp:effectExtent l="0" t="0" r="0" b="0"/>
                  <wp:docPr id="6" name="Imagem 6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B7B5AB1" wp14:editId="065317C3">
                  <wp:extent cx="228600" cy="9525"/>
                  <wp:effectExtent l="0" t="0" r="0" b="0"/>
                  <wp:docPr id="5" name="Imagem 5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Em 03 de abril de 2014.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401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6BE55D02" wp14:editId="592E1780">
                  <wp:extent cx="228600" cy="9525"/>
                  <wp:effectExtent l="0" t="0" r="0" b="0"/>
                  <wp:docPr id="4" name="Imagem 4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09B8A2D4" wp14:editId="0B4B6740">
                  <wp:extent cx="228600" cy="9525"/>
                  <wp:effectExtent l="0" t="0" r="0" b="0"/>
                  <wp:docPr id="3" name="Imagem 3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Carlos Henrique </w:t>
            </w:r>
            <w:proofErr w:type="spellStart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Kaipper</w:t>
            </w:r>
            <w:proofErr w:type="spellEnd"/>
            <w:r w:rsidRPr="007538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  <w:tr w:rsidR="0075389C" w:rsidRPr="0075389C" w:rsidTr="0075389C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2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:rsidR="0075389C" w:rsidRPr="0075389C" w:rsidRDefault="0075389C" w:rsidP="0075389C">
      <w:pPr>
        <w:pStyle w:val="Ttulo1"/>
        <w:spacing w:before="0"/>
        <w:rPr>
          <w:rFonts w:eastAsia="Times New Roman"/>
          <w:vanish/>
          <w:color w:val="000000" w:themeColor="text1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790"/>
        <w:gridCol w:w="6"/>
        <w:gridCol w:w="360"/>
      </w:tblGrid>
      <w:tr w:rsidR="0075389C" w:rsidRPr="0075389C" w:rsidTr="0075389C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5E684B67" wp14:editId="62219B70">
                  <wp:extent cx="228600" cy="9525"/>
                  <wp:effectExtent l="0" t="0" r="0" b="0"/>
                  <wp:docPr id="2" name="Imagem 2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sz w:val="18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5389C" w:rsidRPr="0075389C" w:rsidRDefault="0075389C" w:rsidP="0075389C">
            <w:pPr>
              <w:pStyle w:val="Ttulo1"/>
              <w:spacing w:before="0"/>
              <w:rPr>
                <w:rFonts w:eastAsia="Times New Roman"/>
                <w:color w:val="000000" w:themeColor="text1"/>
                <w:lang w:eastAsia="pt-BR"/>
              </w:rPr>
            </w:pPr>
            <w:r w:rsidRPr="0075389C">
              <w:rPr>
                <w:rFonts w:eastAsia="Times New Roman"/>
                <w:noProof/>
                <w:color w:val="000000" w:themeColor="text1"/>
                <w:lang w:eastAsia="pt-BR"/>
              </w:rPr>
              <w:drawing>
                <wp:inline distT="0" distB="0" distL="0" distR="0" wp14:anchorId="359E790B" wp14:editId="1B967A28">
                  <wp:extent cx="228600" cy="9525"/>
                  <wp:effectExtent l="0" t="0" r="0" b="0"/>
                  <wp:docPr id="1" name="Imagem 1" descr="http://www2.pge.rs.gov.br/pge_web/lpext.dll/Pareceres/4/31f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2.pge.rs.gov.br/pge_web/lpext.dll/Pareceres/4/31f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89C" w:rsidRPr="0075389C" w:rsidTr="007538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389C" w:rsidRPr="0075389C" w:rsidRDefault="0075389C" w:rsidP="0075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389C" w:rsidRPr="0075389C" w:rsidTr="0075389C">
        <w:trPr>
          <w:trHeight w:val="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389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Procurador-Geral do Estado. </w:t>
            </w:r>
          </w:p>
        </w:tc>
        <w:tc>
          <w:tcPr>
            <w:tcW w:w="0" w:type="auto"/>
            <w:vAlign w:val="center"/>
            <w:hideMark/>
          </w:tcPr>
          <w:p w:rsidR="0075389C" w:rsidRPr="0075389C" w:rsidRDefault="0075389C" w:rsidP="0075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389C" w:rsidRPr="0075389C" w:rsidRDefault="0075389C" w:rsidP="0075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D3FA9" w:rsidRDefault="000D3FA9"/>
    <w:sectPr w:rsidR="000D3FA9" w:rsidSect="00753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9C"/>
    <w:rsid w:val="000D3FA9"/>
    <w:rsid w:val="007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3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89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53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75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3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89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53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75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2547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da Silva</dc:creator>
  <cp:keywords/>
  <dc:description/>
  <cp:lastModifiedBy>Marli da Silva</cp:lastModifiedBy>
  <cp:revision>1</cp:revision>
  <dcterms:created xsi:type="dcterms:W3CDTF">2014-04-26T23:45:00Z</dcterms:created>
  <dcterms:modified xsi:type="dcterms:W3CDTF">2014-04-26T23:51:00Z</dcterms:modified>
</cp:coreProperties>
</file>